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57" w:rsidRPr="00C91157" w:rsidRDefault="00C91157" w:rsidP="00C91157">
      <w:pPr>
        <w:pStyle w:val="NormalWeb"/>
        <w:jc w:val="center"/>
        <w:rPr>
          <w:color w:val="212529"/>
        </w:rPr>
      </w:pPr>
      <w:r w:rsidRPr="00C91157">
        <w:rPr>
          <w:color w:val="212529"/>
        </w:rPr>
        <w:t>2025-2026 EĞİTİM  ÖĞRETİM YILI 2. DÖNEM ÖĞRETMENLER KURULU GÜNDEM MADDELERİ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1.      Açılış ve Yoklama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2-       Saygı Duruşu ve İstiklal Marşının okunması.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2.      Gündem maddelerinin okunması varsa yeni maddelerin eklenmesi.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3.      2025-2026 öğretim yılı sene başı öğretmenler kurulunda alınan kararların  değerlendirilmesi.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4.      Eğitim-öğretim etkinliklerinin düzenli yürütülmesi.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a)      Derslere zamanında giriş çıkışların görüşülmesi.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b)      Ders defterlerinin usulüne uygun olarak doldurulması.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c)       Öğretmenlerin rapor ve izin işlemleri.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d)      Nöbet uygulamalarının görüşülmesi. Nöbet hizmetleri, görülen aksaklıklar ve öneriler.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e)       Öğrenci devam devamsızlık, geç gelme durumları, öğrenci devamsızlığının azaltılması için alınması gereken önlemler.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5.      Türkiye Yüzyılı Maarif Modeli Ortak Metninin ders ve kazanımlara uyarlanmasının detaylı bir şekilde genel değerlendirilmesinin yapılması.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6.      2025-2026 öğretim yılı 1. dönem başarısı, devam devamsızlık ve disiplin durumlarıyla ilgili değerlendirmelerin yapılması.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a)      1. dönem sonu genel başarı oranları ve görüşlerin alınması.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b)      2. dönem başarıyı artırmak için alınması gereken önlemler.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c)       Okulun genel disiplin durumunun değerlendirilmesi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d)      Onur belgesi alan öğrenci sayıları.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e)       Takdir ve teşekkür belgesi alan öğrenci sayıları.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f)       Okul Ortak sınavlar ve sınav tarihleri hakkında karar alınması.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g)      2.Dönem yapılacak sorumluluk sınavının görüşülmesi.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7.       2025-2026 Eğitim Öğretim Yılı 2. Dönem yapılacak olan zümre toplantılarının planlanması.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a)Öğretmenler Kurulu Toplantısı 02 Şubat 2026,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lastRenderedPageBreak/>
        <w:t>b)      Eğitim Kurumu Alan Zümre Başkanları Toplantısı 03 Şubat 2026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c)       Eğitim Kurumu Alan Zümre Toplantısı 03 Şubat 2026,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d)      İlçe Alan Zümre Toplantısı 04 Şubat 2026,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e)       İl Alan Zümre Toplantısı 05 Şubat 2026,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f)       Rehberlik ve Psikolojik Danışma Hizmetleri Yürütme Komisyonu  Toplantısı Mart ayında yapılacak.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g) Sınıf-Şube Öğretmenler Kurulu Toplantısı Nisan ayında yapılacak.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8.       Önemli gün ve haftaların kutlanması 2. dönem yapılacak sosyal ve kültürel önemli günler ve yapılacak çalışmalar.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9.      2025-2026 öğretim yılı 1. dönem rehberlik ve psikolojik danışma servisinin faaliyet raporunun okunması. 2. dönem planlanan rehberlik ve psikolojik danışmanlık etkinlikleri hakkında kurula bilgi arz etme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10.    Okulun tanıtımı, mesleki rehberlik ve danışma hizmetlerinin görüşülmesi.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11.    Okul-Öğrenci-Veli Sözleşmelerinin İmzalanması için bir komisyon kurulması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12.    2025-2026 öğretim yılı 1. dönem veli toplantısı ile ilgili değerlendirmeler ile 2. dönem veli toplantısı tarihinin belirlenmesi. Aylık veli toplantılarının amacı, içeriği, hedefi hakkında öneriler.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13.    Rehberlik ve psikolojik danışma hizmetleri yürütme kurulu toplantı tarihinin belirlenmesi.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14.    Değişen kurul, komisyon, rehberlik sınıfı, sosyal kulüp görevleri hakkında bilgi verme.- Okul Yapay Zeka ve Rehberlik Denetim Ekibi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15.    Okulun genel işleyişine ait çalışmaların değerlendirilmesi: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a) Okulun tertip, düzen ve temizliği çalışmaları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b) Okul güvenliği, güvenli okul projesi çalışmaları</w:t>
      </w:r>
    </w:p>
    <w:p w:rsidR="00C91157" w:rsidRPr="00C91157" w:rsidRDefault="00C91157" w:rsidP="00C91157">
      <w:pPr>
        <w:pStyle w:val="NormalWeb"/>
        <w:spacing w:before="0" w:after="0"/>
        <w:rPr>
          <w:color w:val="212529"/>
        </w:rPr>
      </w:pPr>
      <w:r w:rsidRPr="00C91157">
        <w:rPr>
          <w:rStyle w:val="Vurgu"/>
          <w:color w:val="212529"/>
        </w:rPr>
        <w:t>c) Tasarruf önlemleri, ekonomik aydınlatma, PC'lerin, yazıcıların, TV'lerin, lambaların, çeşmelerin sürekli açık bırakılmasının ülkeye zararları v.b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16.    Okula gelen resmi yazıların iletilme (e-posta, SMS vb.) şekli, okunması, imzalanması istenen bilgi belge dokümanların zamanında idareye teslim etme veya hakkında bilgi verme.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17.    Teknoloji ve Madde Bağımlılığı, Zararlı alışkanlıklarla (tütün, uyuşturucu, alkol, enerji içecekleri, GDO, MSG, trans yağlar vb.) mücadele hakkında bilgi verme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18.    Okul ve kuruma sokulması yasak olan obez ,kanser yapıcı ürünler hakkında bilgi verme.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lastRenderedPageBreak/>
        <w:t>19.    2025-2026 Eğitim-Öğretim Yılında başlatılması düşünülen bölümler ile ilgili kararların alınması.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20-  2. Dönemde okulumuzda yapılacak-yürütülecek proje çalışmaları, Eğitim Kurumu, ilçe, il, yurtiçi ve yurt dışında düzenlenecek  bilimsel, sosyal, kültürel, sanatsal ve sportif etkinlikler ve yarışmalar ile geziler,öğrenci kulüp ve topluma hizmet çalışmaları      /Erasmus+, Tübitak,  e-Twinning vb. )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21-  12. Sınıf öğrencileri için YKS sınavı hazırlığıyla ilgili akademik destek çalışmalarının planlanması, Destekleme Yetiştirme Sınavlarının ( DYS ) değerlendirilmesi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22   1. Dönem Değerlendirilmesi ve Okulumuzda 2. Dönem düşünülen çalışmaların planlanması.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23.  Kurum Kültürü ve Etiği konularının önemi hakkında kurula bilgi verme.</w:t>
      </w:r>
    </w:p>
    <w:p w:rsidR="00C91157" w:rsidRPr="00C91157" w:rsidRDefault="00C91157" w:rsidP="00C91157">
      <w:pPr>
        <w:pStyle w:val="NormalWeb"/>
        <w:rPr>
          <w:color w:val="212529"/>
        </w:rPr>
      </w:pPr>
      <w:r w:rsidRPr="00C91157">
        <w:rPr>
          <w:color w:val="212529"/>
        </w:rPr>
        <w:t>24   Dilek ve temenniler</w:t>
      </w:r>
    </w:p>
    <w:p w:rsidR="00F2162F" w:rsidRPr="00C91157" w:rsidRDefault="00F2162F">
      <w:pPr>
        <w:rPr>
          <w:rFonts w:ascii="Times New Roman" w:hAnsi="Times New Roman" w:cs="Times New Roman"/>
          <w:sz w:val="24"/>
          <w:szCs w:val="24"/>
        </w:rPr>
      </w:pPr>
    </w:p>
    <w:sectPr w:rsidR="00F2162F" w:rsidRPr="00C91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2F" w:rsidRDefault="00F2162F" w:rsidP="00C91157">
      <w:pPr>
        <w:spacing w:after="0" w:line="240" w:lineRule="auto"/>
      </w:pPr>
      <w:r>
        <w:separator/>
      </w:r>
    </w:p>
  </w:endnote>
  <w:endnote w:type="continuationSeparator" w:id="1">
    <w:p w:rsidR="00F2162F" w:rsidRDefault="00F2162F" w:rsidP="00C9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57" w:rsidRDefault="00C9115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57" w:rsidRDefault="00C9115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57" w:rsidRDefault="00C9115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2F" w:rsidRDefault="00F2162F" w:rsidP="00C91157">
      <w:pPr>
        <w:spacing w:after="0" w:line="240" w:lineRule="auto"/>
      </w:pPr>
      <w:r>
        <w:separator/>
      </w:r>
    </w:p>
  </w:footnote>
  <w:footnote w:type="continuationSeparator" w:id="1">
    <w:p w:rsidR="00F2162F" w:rsidRDefault="00F2162F" w:rsidP="00C9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57" w:rsidRDefault="00C9115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38626" o:spid="_x0000_s2050" type="#_x0000_t136" style="position:absolute;margin-left:0;margin-top:0;width:511.6pt;height:127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57" w:rsidRDefault="00C9115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38627" o:spid="_x0000_s2051" type="#_x0000_t136" style="position:absolute;margin-left:0;margin-top:0;width:511.6pt;height:127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57" w:rsidRDefault="00C9115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38625" o:spid="_x0000_s2049" type="#_x0000_t136" style="position:absolute;margin-left:0;margin-top:0;width:511.6pt;height:127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1157"/>
    <w:rsid w:val="00C91157"/>
    <w:rsid w:val="00F2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C91157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C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91157"/>
  </w:style>
  <w:style w:type="paragraph" w:styleId="Altbilgi">
    <w:name w:val="footer"/>
    <w:basedOn w:val="Normal"/>
    <w:link w:val="AltbilgiChar"/>
    <w:uiPriority w:val="99"/>
    <w:semiHidden/>
    <w:unhideWhenUsed/>
    <w:rsid w:val="00C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91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Company>C@NgO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2</cp:revision>
  <dcterms:created xsi:type="dcterms:W3CDTF">2026-01-26T09:46:00Z</dcterms:created>
  <dcterms:modified xsi:type="dcterms:W3CDTF">2026-01-26T09:46:00Z</dcterms:modified>
</cp:coreProperties>
</file>